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华文楷体" w:hAnsi="华文楷体" w:eastAsia="华文楷体"/>
          <w:b/>
          <w:sz w:val="32"/>
          <w:szCs w:val="28"/>
        </w:rPr>
      </w:pPr>
      <w:r>
        <w:rPr>
          <w:rFonts w:hint="eastAsia" w:ascii="华文楷体" w:hAnsi="华文楷体" w:eastAsia="华文楷体"/>
          <w:b/>
          <w:sz w:val="32"/>
          <w:szCs w:val="28"/>
        </w:rPr>
        <w:t>中山大学“治道寻根”</w:t>
      </w:r>
      <w:r>
        <w:rPr>
          <w:rFonts w:hint="eastAsia" w:ascii="华文楷体" w:hAnsi="华文楷体" w:eastAsia="华文楷体"/>
          <w:b/>
          <w:sz w:val="32"/>
          <w:szCs w:val="28"/>
          <w:lang w:eastAsia="zh-CN"/>
        </w:rPr>
        <w:t>第三</w:t>
      </w:r>
      <w:r>
        <w:rPr>
          <w:rFonts w:hint="eastAsia" w:ascii="华文楷体" w:hAnsi="华文楷体" w:eastAsia="华文楷体"/>
          <w:b/>
          <w:sz w:val="32"/>
          <w:szCs w:val="28"/>
        </w:rPr>
        <w:t>届公共管理案例大赛报名表</w:t>
      </w:r>
    </w:p>
    <w:tbl>
      <w:tblPr>
        <w:tblStyle w:val="8"/>
        <w:tblW w:w="11272" w:type="dxa"/>
        <w:tblInd w:w="-13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279"/>
        <w:gridCol w:w="1947"/>
        <w:gridCol w:w="1488"/>
        <w:gridCol w:w="343"/>
        <w:gridCol w:w="1172"/>
        <w:gridCol w:w="659"/>
        <w:gridCol w:w="18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52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团队名称</w:t>
            </w:r>
          </w:p>
        </w:tc>
        <w:tc>
          <w:tcPr>
            <w:tcW w:w="8720" w:type="dxa"/>
            <w:gridSpan w:val="7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52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团队宣言</w:t>
            </w:r>
          </w:p>
        </w:tc>
        <w:tc>
          <w:tcPr>
            <w:tcW w:w="8720" w:type="dxa"/>
            <w:gridSpan w:val="7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52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指导教师（选填）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单位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1831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职称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1832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团队成员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姓名</w:t>
            </w:r>
          </w:p>
        </w:tc>
        <w:tc>
          <w:tcPr>
            <w:tcW w:w="1947" w:type="dxa"/>
          </w:tcPr>
          <w:p>
            <w:pPr>
              <w:spacing w:line="240" w:lineRule="auto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学院</w:t>
            </w:r>
          </w:p>
          <w:p>
            <w:pPr>
              <w:spacing w:line="240" w:lineRule="auto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  <w:lang w:eastAsia="zh-CN"/>
              </w:rPr>
              <w:t>（如有外校参赛者请注明学校名称）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年级专业</w:t>
            </w:r>
          </w:p>
        </w:tc>
        <w:tc>
          <w:tcPr>
            <w:tcW w:w="1515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联系电话</w:t>
            </w:r>
          </w:p>
        </w:tc>
        <w:tc>
          <w:tcPr>
            <w:tcW w:w="2491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队长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2491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队员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2491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队员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2491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队员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488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2491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52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队员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  <w:tc>
          <w:tcPr>
            <w:tcW w:w="2491" w:type="dxa"/>
            <w:gridSpan w:val="2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552" w:type="dxa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团队介绍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（特色、优势等）</w:t>
            </w:r>
          </w:p>
        </w:tc>
        <w:tc>
          <w:tcPr>
            <w:tcW w:w="8720" w:type="dxa"/>
            <w:gridSpan w:val="7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52" w:type="dxa"/>
          </w:tcPr>
          <w:p>
            <w:pPr>
              <w:rPr>
                <w:rFonts w:ascii="华文楷体" w:hAnsi="华文楷体" w:eastAsia="华文楷体"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8"/>
              </w:rPr>
              <w:t>案例主题涉及的模块(</w:t>
            </w:r>
            <w:r>
              <w:rPr>
                <w:rFonts w:hint="eastAsia" w:ascii="华文楷体" w:hAnsi="华文楷体" w:eastAsia="华文楷体"/>
                <w:b/>
                <w:szCs w:val="21"/>
              </w:rPr>
              <w:t>在相应模板前打√，只选一项</w:t>
            </w:r>
            <w:r>
              <w:rPr>
                <w:rFonts w:hint="eastAsia" w:ascii="华文楷体" w:hAnsi="华文楷体" w:eastAsia="华文楷体"/>
                <w:szCs w:val="21"/>
              </w:rPr>
              <w:t>)</w:t>
            </w:r>
          </w:p>
        </w:tc>
        <w:tc>
          <w:tcPr>
            <w:tcW w:w="8720" w:type="dxa"/>
            <w:gridSpan w:val="7"/>
          </w:tcPr>
          <w:p>
            <w:pPr>
              <w:rPr>
                <w:rFonts w:ascii="华文楷体" w:hAnsi="华文楷体" w:eastAsia="华文楷体"/>
                <w:sz w:val="22"/>
                <w:szCs w:val="28"/>
              </w:rPr>
            </w:pPr>
            <w:r>
              <w:rPr>
                <w:rFonts w:hint="eastAsia" w:ascii="华文楷体" w:hAnsi="华文楷体" w:eastAsia="华文楷体"/>
                <w:sz w:val="22"/>
                <w:szCs w:val="28"/>
              </w:rPr>
              <w:t xml:space="preserve">（ </w:t>
            </w:r>
            <w:r>
              <w:rPr>
                <w:rFonts w:ascii="华文楷体" w:hAnsi="华文楷体" w:eastAsia="华文楷体"/>
                <w:sz w:val="22"/>
                <w:szCs w:val="28"/>
              </w:rPr>
              <w:t>）</w:t>
            </w:r>
            <w:r>
              <w:rPr>
                <w:rFonts w:hint="eastAsia" w:ascii="华文楷体" w:hAnsi="华文楷体" w:eastAsia="华文楷体"/>
                <w:sz w:val="22"/>
                <w:szCs w:val="28"/>
              </w:rPr>
              <w:t xml:space="preserve">公共危机应对；     （ </w:t>
            </w:r>
            <w:r>
              <w:rPr>
                <w:rFonts w:ascii="华文楷体" w:hAnsi="华文楷体" w:eastAsia="华文楷体"/>
                <w:sz w:val="22"/>
                <w:szCs w:val="28"/>
              </w:rPr>
              <w:t>）</w:t>
            </w:r>
            <w:r>
              <w:rPr>
                <w:rFonts w:hint="eastAsia" w:ascii="华文楷体" w:hAnsi="华文楷体" w:eastAsia="华文楷体"/>
                <w:sz w:val="22"/>
                <w:szCs w:val="28"/>
              </w:rPr>
              <w:t xml:space="preserve">网络舆情管理; （ </w:t>
            </w:r>
            <w:r>
              <w:rPr>
                <w:rFonts w:ascii="华文楷体" w:hAnsi="华文楷体" w:eastAsia="华文楷体"/>
                <w:sz w:val="22"/>
                <w:szCs w:val="28"/>
              </w:rPr>
              <w:t>）</w:t>
            </w:r>
            <w:r>
              <w:rPr>
                <w:rFonts w:hint="eastAsia" w:ascii="华文楷体" w:hAnsi="华文楷体" w:eastAsia="华文楷体"/>
                <w:sz w:val="22"/>
                <w:szCs w:val="28"/>
              </w:rPr>
              <w:t>非盈利组织建设与发展;</w:t>
            </w:r>
          </w:p>
          <w:p>
            <w:pPr>
              <w:rPr>
                <w:rFonts w:ascii="华文楷体" w:hAnsi="华文楷体" w:eastAsia="华文楷体"/>
                <w:sz w:val="22"/>
                <w:szCs w:val="28"/>
              </w:rPr>
            </w:pPr>
            <w:r>
              <w:rPr>
                <w:rFonts w:hint="eastAsia" w:ascii="华文楷体" w:hAnsi="华文楷体" w:eastAsia="华文楷体"/>
                <w:sz w:val="22"/>
                <w:szCs w:val="28"/>
              </w:rPr>
              <w:t xml:space="preserve">（ </w:t>
            </w:r>
            <w:r>
              <w:rPr>
                <w:rFonts w:ascii="华文楷体" w:hAnsi="华文楷体" w:eastAsia="华文楷体"/>
                <w:sz w:val="22"/>
                <w:szCs w:val="28"/>
              </w:rPr>
              <w:t>）</w:t>
            </w:r>
            <w:r>
              <w:rPr>
                <w:rFonts w:hint="eastAsia" w:ascii="华文楷体" w:hAnsi="华文楷体" w:eastAsia="华文楷体"/>
                <w:sz w:val="22"/>
                <w:szCs w:val="28"/>
              </w:rPr>
              <w:t xml:space="preserve">社会政策形成和完善; （ </w:t>
            </w:r>
            <w:r>
              <w:rPr>
                <w:rFonts w:ascii="华文楷体" w:hAnsi="华文楷体" w:eastAsia="华文楷体"/>
                <w:sz w:val="22"/>
                <w:szCs w:val="28"/>
              </w:rPr>
              <w:t>）</w:t>
            </w:r>
            <w:r>
              <w:rPr>
                <w:rFonts w:hint="eastAsia" w:ascii="华文楷体" w:hAnsi="华文楷体" w:eastAsia="华文楷体"/>
                <w:sz w:val="22"/>
                <w:szCs w:val="28"/>
              </w:rPr>
              <w:t xml:space="preserve">社会保障;    （ </w:t>
            </w:r>
            <w:r>
              <w:rPr>
                <w:rFonts w:ascii="华文楷体" w:hAnsi="华文楷体" w:eastAsia="华文楷体"/>
                <w:sz w:val="22"/>
                <w:szCs w:val="28"/>
              </w:rPr>
              <w:t>）</w:t>
            </w:r>
            <w:r>
              <w:rPr>
                <w:rFonts w:hint="eastAsia" w:ascii="华文楷体" w:hAnsi="华文楷体" w:eastAsia="华文楷体"/>
                <w:sz w:val="22"/>
                <w:szCs w:val="28"/>
              </w:rPr>
              <w:t xml:space="preserve">城市管理与创新; </w:t>
            </w:r>
          </w:p>
          <w:p>
            <w:pPr>
              <w:rPr>
                <w:rFonts w:ascii="华文楷体" w:hAnsi="华文楷体" w:eastAsia="华文楷体"/>
                <w:sz w:val="22"/>
                <w:szCs w:val="28"/>
              </w:rPr>
            </w:pPr>
            <w:r>
              <w:rPr>
                <w:rFonts w:hint="eastAsia" w:ascii="华文楷体" w:hAnsi="华文楷体" w:eastAsia="华文楷体"/>
                <w:sz w:val="22"/>
                <w:szCs w:val="28"/>
              </w:rPr>
              <w:t xml:space="preserve">（ </w:t>
            </w:r>
            <w:r>
              <w:rPr>
                <w:rFonts w:ascii="华文楷体" w:hAnsi="华文楷体" w:eastAsia="华文楷体"/>
                <w:sz w:val="22"/>
                <w:szCs w:val="28"/>
              </w:rPr>
              <w:t>）</w:t>
            </w:r>
            <w:r>
              <w:rPr>
                <w:rFonts w:hint="eastAsia" w:ascii="华文楷体" w:hAnsi="华文楷体" w:eastAsia="华文楷体"/>
                <w:sz w:val="22"/>
                <w:szCs w:val="28"/>
              </w:rPr>
              <w:t xml:space="preserve">公共部门人力资源;   （ </w:t>
            </w:r>
            <w:r>
              <w:rPr>
                <w:rFonts w:ascii="华文楷体" w:hAnsi="华文楷体" w:eastAsia="华文楷体"/>
                <w:sz w:val="22"/>
                <w:szCs w:val="28"/>
              </w:rPr>
              <w:t>）</w:t>
            </w:r>
            <w:r>
              <w:rPr>
                <w:rFonts w:hint="eastAsia" w:ascii="华文楷体" w:hAnsi="华文楷体" w:eastAsia="华文楷体"/>
                <w:sz w:val="22"/>
                <w:szCs w:val="28"/>
              </w:rPr>
              <w:t xml:space="preserve">公共财政；   （ </w:t>
            </w:r>
            <w:r>
              <w:rPr>
                <w:rFonts w:ascii="华文楷体" w:hAnsi="华文楷体" w:eastAsia="华文楷体"/>
                <w:sz w:val="22"/>
                <w:szCs w:val="28"/>
              </w:rPr>
              <w:t>）</w:t>
            </w:r>
            <w:r>
              <w:rPr>
                <w:rFonts w:hint="eastAsia" w:ascii="华文楷体" w:hAnsi="华文楷体" w:eastAsia="华文楷体"/>
                <w:sz w:val="22"/>
                <w:szCs w:val="28"/>
              </w:rPr>
              <w:t xml:space="preserve">社会管理创新;     （ </w:t>
            </w:r>
            <w:r>
              <w:rPr>
                <w:rFonts w:ascii="华文楷体" w:hAnsi="华文楷体" w:eastAsia="华文楷体"/>
                <w:sz w:val="22"/>
                <w:szCs w:val="28"/>
              </w:rPr>
              <w:t>）</w:t>
            </w:r>
            <w:r>
              <w:rPr>
                <w:rFonts w:hint="eastAsia" w:ascii="华文楷体" w:hAnsi="华文楷体" w:eastAsia="华文楷体"/>
                <w:sz w:val="22"/>
                <w:szCs w:val="28"/>
              </w:rPr>
              <w:t>其他</w:t>
            </w:r>
          </w:p>
        </w:tc>
      </w:tr>
    </w:tbl>
    <w:p>
      <w:pPr>
        <w:jc w:val="left"/>
        <w:rPr>
          <w:rFonts w:hint="eastAsia"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注：</w:t>
      </w:r>
    </w:p>
    <w:p>
      <w:pPr>
        <w:jc w:val="left"/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24"/>
        </w:rPr>
        <w:t>请于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月1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日24:00</w:t>
      </w:r>
      <w:r>
        <w:rPr>
          <w:rFonts w:hint="eastAsia" w:ascii="华文楷体" w:hAnsi="华文楷体" w:eastAsia="华文楷体"/>
          <w:sz w:val="24"/>
          <w:szCs w:val="24"/>
          <w:lang w:eastAsia="zh-CN"/>
        </w:rPr>
        <w:t>前提交到第三届案例大赛指定邮箱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instrText xml:space="preserve"> HYPERLINK "mailto:sysucase@126.com" </w:instrTex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>sysucase@126.com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fldChar w:fldCharType="end"/>
      </w:r>
    </w:p>
    <w:p>
      <w:pPr>
        <w:jc w:val="left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 w:val="0"/>
          <w:bCs w:val="0"/>
          <w:sz w:val="24"/>
          <w:szCs w:val="24"/>
          <w:lang w:val="en-US" w:eastAsia="zh-CN"/>
        </w:rPr>
        <w:t>纸质版请于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>4月16日</w:t>
      </w:r>
      <w:r>
        <w:rPr>
          <w:rFonts w:hint="eastAsia" w:ascii="华文楷体" w:hAnsi="华文楷体" w:eastAsia="华文楷体"/>
          <w:b w:val="0"/>
          <w:bCs w:val="0"/>
          <w:sz w:val="24"/>
          <w:szCs w:val="24"/>
          <w:lang w:val="en-US" w:eastAsia="zh-CN"/>
        </w:rPr>
        <w:t>前交至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北学院楼D104政务学院学工部(上班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时间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09:00-20:30)</w:t>
      </w:r>
    </w:p>
    <w:p>
      <w:pPr>
        <w:jc w:val="left"/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pict>
        <v:shape id="WordPictureWatermark7289476" o:spid="_x0000_s4098" o:spt="75" type="#_x0000_t75" style="position:absolute;left:0pt;height:414.85pt;width:414.8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徽标（绿）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pict>
        <v:shape id="WordPictureWatermark7289475" o:spid="_x0000_s4099" o:spt="75" type="#_x0000_t75" style="position:absolute;left:0pt;height:414.85pt;width:414.8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徽标（绿）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pict>
        <v:shape id="WordPictureWatermark7289474" o:spid="_x0000_s4097" o:spt="75" type="#_x0000_t75" style="position:absolute;left:0pt;height:414.85pt;width:414.8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徽标（绿）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EA"/>
    <w:rsid w:val="000522CB"/>
    <w:rsid w:val="00084275"/>
    <w:rsid w:val="00093DEA"/>
    <w:rsid w:val="000D416E"/>
    <w:rsid w:val="00393731"/>
    <w:rsid w:val="003C036B"/>
    <w:rsid w:val="003D3C39"/>
    <w:rsid w:val="005368D1"/>
    <w:rsid w:val="006516AB"/>
    <w:rsid w:val="00713747"/>
    <w:rsid w:val="00763ADD"/>
    <w:rsid w:val="00810118"/>
    <w:rsid w:val="008466D8"/>
    <w:rsid w:val="0089652C"/>
    <w:rsid w:val="008D7DE6"/>
    <w:rsid w:val="00932C95"/>
    <w:rsid w:val="00933302"/>
    <w:rsid w:val="009D44E1"/>
    <w:rsid w:val="00BB152C"/>
    <w:rsid w:val="00C0759F"/>
    <w:rsid w:val="00CE39CD"/>
    <w:rsid w:val="00D15619"/>
    <w:rsid w:val="00D23CB9"/>
    <w:rsid w:val="00E36B5A"/>
    <w:rsid w:val="00EC1A35"/>
    <w:rsid w:val="00F03AB1"/>
    <w:rsid w:val="00F70C6B"/>
    <w:rsid w:val="1EE73172"/>
    <w:rsid w:val="36113554"/>
    <w:rsid w:val="57632062"/>
    <w:rsid w:val="66423C65"/>
    <w:rsid w:val="7DCB70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62</Words>
  <Characters>355</Characters>
  <Lines>2</Lines>
  <Paragraphs>1</Paragraphs>
  <ScaleCrop>false</ScaleCrop>
  <LinksUpToDate>false</LinksUpToDate>
  <CharactersWithSpaces>416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2013-09-26T19:12:00Z</dcterms:created>
  <dc:creator>SDWM</dc:creator>
  <cp:lastModifiedBy>Administrator</cp:lastModifiedBy>
  <dcterms:modified xsi:type="dcterms:W3CDTF">2016-03-22T11:49:58Z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